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F5" w:rsidRPr="001569F5" w:rsidRDefault="001569F5" w:rsidP="001569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569F5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сельского  поселения Кирзинский сельсовет муниципального района Караидельский район Республика Башкортостан</w:t>
      </w:r>
    </w:p>
    <w:p w:rsidR="001569F5" w:rsidRPr="001569F5" w:rsidRDefault="001569F5" w:rsidP="001569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569F5" w:rsidRPr="001569F5" w:rsidRDefault="001569F5" w:rsidP="001569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569F5"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 w:rsidR="001569F5" w:rsidRPr="001569F5" w:rsidRDefault="001569F5" w:rsidP="001569F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№41 </w:t>
      </w:r>
      <w:r w:rsidRPr="001569F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от 2.09</w:t>
      </w:r>
      <w:r w:rsidRPr="001569F5">
        <w:rPr>
          <w:rFonts w:ascii="Times New Roman" w:hAnsi="Times New Roman"/>
          <w:b/>
          <w:bCs/>
          <w:sz w:val="28"/>
          <w:szCs w:val="28"/>
          <w:lang w:val="ru-RU"/>
        </w:rPr>
        <w:t>.2021</w:t>
      </w:r>
    </w:p>
    <w:p w:rsidR="00617010" w:rsidRDefault="00617010" w:rsidP="00617010">
      <w:pPr>
        <w:pStyle w:val="3"/>
        <w:rPr>
          <w:rFonts w:cs="FrankRuehl"/>
          <w:b/>
          <w:sz w:val="28"/>
          <w:szCs w:val="28"/>
        </w:rPr>
      </w:pPr>
    </w:p>
    <w:p w:rsidR="00015EBF" w:rsidRPr="00432709" w:rsidRDefault="00015EBF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val="ru-RU" w:eastAsia="ru-RU"/>
        </w:rPr>
      </w:pPr>
      <w:proofErr w:type="gramStart"/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r w:rsidR="0061701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Кирзинский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сельсовет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муниципального района </w:t>
      </w:r>
      <w:r w:rsidR="007B0AC0"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>Караидельский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учреждениями и муниципальными унитарными предприятиями, за счет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сельского поселения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>.</w:t>
      </w:r>
    </w:p>
    <w:p w:rsidR="00015EBF" w:rsidRPr="007B0AC0" w:rsidRDefault="00015EBF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1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ab/>
        <w:t xml:space="preserve">В соответствии со статьей 80 Бюджетного кодекса Российской Федерации, </w:t>
      </w:r>
      <w:r w:rsidR="00432709">
        <w:rPr>
          <w:rFonts w:ascii="Times New Roman" w:eastAsia="Times New Roman" w:hAnsi="Times New Roman"/>
          <w:sz w:val="28"/>
          <w:szCs w:val="26"/>
          <w:lang w:val="ru-RU" w:eastAsia="ru-RU"/>
        </w:rPr>
        <w:t>постановляю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:</w:t>
      </w:r>
    </w:p>
    <w:p w:rsidR="00015EBF" w:rsidRPr="007B0AC0" w:rsidRDefault="00015EBF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> 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Утвердить прилагаемые:</w:t>
      </w:r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r w:rsidR="0061701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Кирзинский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Республики Башкортостан;</w:t>
      </w:r>
      <w:proofErr w:type="gramEnd"/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r w:rsidR="0061701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Кирзинский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7B0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2. </w:t>
      </w:r>
      <w:proofErr w:type="gramStart"/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>Контроль за</w:t>
      </w:r>
      <w:proofErr w:type="gramEnd"/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432709" w:rsidRDefault="00432709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17010" w:rsidRDefault="007B0AC0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</w:t>
      </w:r>
      <w:r w:rsidR="001569F5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</w:t>
      </w:r>
      <w:r w:rsidR="000812C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</w:t>
      </w:r>
      <w:r w:rsidR="001569F5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</w:t>
      </w:r>
      <w:bookmarkStart w:id="0" w:name="_GoBack"/>
      <w:bookmarkEnd w:id="0"/>
      <w:r w:rsidR="000812C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0812CC">
        <w:rPr>
          <w:rFonts w:ascii="Times New Roman" w:eastAsia="Times New Roman" w:hAnsi="Times New Roman"/>
          <w:sz w:val="28"/>
          <w:szCs w:val="24"/>
          <w:lang w:val="ru-RU" w:eastAsia="ru-RU"/>
        </w:rPr>
        <w:t>А.А.Каримова</w:t>
      </w:r>
      <w:proofErr w:type="spellEnd"/>
    </w:p>
    <w:p w:rsidR="001569F5" w:rsidRDefault="001569F5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569F5" w:rsidRDefault="001569F5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569F5" w:rsidRDefault="001569F5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1569F5" w:rsidRPr="000812CC" w:rsidRDefault="001569F5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015EBF" w:rsidRPr="00015EBF" w:rsidTr="00015EBF">
        <w:trPr>
          <w:trHeight w:val="1438"/>
        </w:trPr>
        <w:tc>
          <w:tcPr>
            <w:tcW w:w="5220" w:type="dxa"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61701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Кирзинский 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сельсовет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7B0AC0" w:rsidP="007B0AC0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 w:rsidR="00D76C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1569F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сентября</w:t>
            </w:r>
            <w:r w:rsidR="00D76C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D76C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 w:rsidR="0061701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Кирзинский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сельсовет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I. ОСНОВНЫЕ ПОЛОЖЕНИЯ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или) 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приоритетов и целей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исходя из прогнозов и программ социально-экономического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муниципальных программ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документов территориального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поручений и указаний Главы Администрации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в)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приобретения земельных участков под строительство;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проведения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II. ПОДГОТОВКА ПРОЕКТА РЕШЕНИЯ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подготавливает главный распорядитель.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Проект решения подготавливается в форме проекта нормативного правового акта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документам территориального планирования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случае, если объект капитального строительства и (или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объект недвижимого имущества являются объектами, подлежащими отображению в этих документах.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или одной сфере деятельности главного распорядителя.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принимаются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определение главного распорядителя;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определение застройщика или заказчика (заказчика-застройщика);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</w:t>
      </w:r>
      <w:proofErr w:type="gramStart"/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5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Главный распорядитель направляет согласованный с ответственным исполнителем муниципальной программы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6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7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7B0AC0" w:rsidRPr="00015EBF" w:rsidTr="006F2A53">
        <w:trPr>
          <w:trHeight w:val="1438"/>
        </w:trPr>
        <w:tc>
          <w:tcPr>
            <w:tcW w:w="5220" w:type="dxa"/>
          </w:tcPr>
          <w:p w:rsidR="007B0AC0" w:rsidRPr="00015EBF" w:rsidRDefault="007B0AC0" w:rsidP="006F2A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61701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Кирзинский 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сельсовет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7B0AC0" w:rsidRPr="00015EBF" w:rsidRDefault="007B0AC0" w:rsidP="006F2A5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 w:rsidR="00D76C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D76C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августа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</w:t>
            </w:r>
            <w:r w:rsidR="00D76C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 41</w:t>
            </w:r>
          </w:p>
        </w:tc>
      </w:tr>
    </w:tbl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 w:rsidR="0061701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Кирзинский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сельсовет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заключаемому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й(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определяющем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обеспечения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которых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дств в сл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4.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финансового обеспечения (с распределением указанных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получающего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6 настоящих Требований.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сроки перечисления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 порядке, установленном Министерством финансов Российской Федерации,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определяющем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которых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инвестиций и определенных решениями Правительства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дств в сл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E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BD" w:rsidRDefault="006C21BD" w:rsidP="00235A5D">
      <w:pPr>
        <w:spacing w:after="0" w:line="240" w:lineRule="auto"/>
      </w:pPr>
      <w:r>
        <w:separator/>
      </w:r>
    </w:p>
  </w:endnote>
  <w:endnote w:type="continuationSeparator" w:id="0">
    <w:p w:rsidR="006C21BD" w:rsidRDefault="006C21BD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BD" w:rsidRDefault="006C21BD" w:rsidP="00235A5D">
      <w:pPr>
        <w:spacing w:after="0" w:line="240" w:lineRule="auto"/>
      </w:pPr>
      <w:r>
        <w:separator/>
      </w:r>
    </w:p>
  </w:footnote>
  <w:footnote w:type="continuationSeparator" w:id="0">
    <w:p w:rsidR="006C21BD" w:rsidRDefault="006C21BD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15EBF"/>
    <w:rsid w:val="0006043D"/>
    <w:rsid w:val="000663F8"/>
    <w:rsid w:val="00067DD6"/>
    <w:rsid w:val="000812CC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69F5"/>
    <w:rsid w:val="00157E85"/>
    <w:rsid w:val="001773BC"/>
    <w:rsid w:val="0019206D"/>
    <w:rsid w:val="001A2816"/>
    <w:rsid w:val="001A581D"/>
    <w:rsid w:val="001C2BE0"/>
    <w:rsid w:val="001F1940"/>
    <w:rsid w:val="002010CA"/>
    <w:rsid w:val="00217B65"/>
    <w:rsid w:val="00220186"/>
    <w:rsid w:val="002222CF"/>
    <w:rsid w:val="00235A5D"/>
    <w:rsid w:val="00236BCC"/>
    <w:rsid w:val="002645A7"/>
    <w:rsid w:val="00265BC4"/>
    <w:rsid w:val="002B14CC"/>
    <w:rsid w:val="002B2250"/>
    <w:rsid w:val="002B2AEF"/>
    <w:rsid w:val="002C4CCA"/>
    <w:rsid w:val="002D0BAB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32709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17010"/>
    <w:rsid w:val="00622169"/>
    <w:rsid w:val="00625993"/>
    <w:rsid w:val="0063019F"/>
    <w:rsid w:val="0063636F"/>
    <w:rsid w:val="00654BC5"/>
    <w:rsid w:val="00660CD5"/>
    <w:rsid w:val="006C21BD"/>
    <w:rsid w:val="006D0C63"/>
    <w:rsid w:val="006D5441"/>
    <w:rsid w:val="006F4266"/>
    <w:rsid w:val="00706C40"/>
    <w:rsid w:val="0071752C"/>
    <w:rsid w:val="00720C52"/>
    <w:rsid w:val="007262D2"/>
    <w:rsid w:val="00744F9E"/>
    <w:rsid w:val="00770A48"/>
    <w:rsid w:val="00795F76"/>
    <w:rsid w:val="007A5A32"/>
    <w:rsid w:val="007B0AC0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05709"/>
    <w:rsid w:val="00B138BF"/>
    <w:rsid w:val="00B16507"/>
    <w:rsid w:val="00B322F8"/>
    <w:rsid w:val="00B33322"/>
    <w:rsid w:val="00B40FA0"/>
    <w:rsid w:val="00B62B9C"/>
    <w:rsid w:val="00B667C2"/>
    <w:rsid w:val="00B8036F"/>
    <w:rsid w:val="00B86811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76CEB"/>
    <w:rsid w:val="00D82F97"/>
    <w:rsid w:val="00D83C7A"/>
    <w:rsid w:val="00D95FEE"/>
    <w:rsid w:val="00DA2F0A"/>
    <w:rsid w:val="00DB002D"/>
    <w:rsid w:val="00DC09B1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A178B"/>
    <w:rsid w:val="00EB2DC8"/>
    <w:rsid w:val="00EC427D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180A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styleId="3">
    <w:name w:val="Body Text Indent 3"/>
    <w:basedOn w:val="a"/>
    <w:link w:val="30"/>
    <w:uiPriority w:val="99"/>
    <w:semiHidden/>
    <w:unhideWhenUsed/>
    <w:rsid w:val="006170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0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2CC"/>
    <w:rPr>
      <w:rFonts w:ascii="Tahoma" w:eastAsia="Calibri" w:hAnsi="Tahoma" w:cs="Tahoma"/>
      <w:sz w:val="16"/>
      <w:szCs w:val="16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styleId="3">
    <w:name w:val="Body Text Indent 3"/>
    <w:basedOn w:val="a"/>
    <w:link w:val="30"/>
    <w:uiPriority w:val="99"/>
    <w:semiHidden/>
    <w:unhideWhenUsed/>
    <w:rsid w:val="006170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0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2CC"/>
    <w:rPr>
      <w:rFonts w:ascii="Tahoma" w:eastAsia="Calibri" w:hAnsi="Tahoma" w:cs="Tahoma"/>
      <w:sz w:val="16"/>
      <w:szCs w:val="16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52D5-05A3-476C-B043-6C7E7DA4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Кирзя</cp:lastModifiedBy>
  <cp:revision>2</cp:revision>
  <cp:lastPrinted>2021-09-06T06:07:00Z</cp:lastPrinted>
  <dcterms:created xsi:type="dcterms:W3CDTF">2021-09-06T06:09:00Z</dcterms:created>
  <dcterms:modified xsi:type="dcterms:W3CDTF">2021-09-06T06:09:00Z</dcterms:modified>
</cp:coreProperties>
</file>